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82.0" w:type="dxa"/>
        <w:tblLayout w:type="fixed"/>
        <w:tblLook w:val="0000"/>
      </w:tblPr>
      <w:tblGrid>
        <w:gridCol w:w="6495"/>
        <w:gridCol w:w="2295"/>
        <w:gridCol w:w="195"/>
        <w:gridCol w:w="240"/>
        <w:tblGridChange w:id="0">
          <w:tblGrid>
            <w:gridCol w:w="6495"/>
            <w:gridCol w:w="2295"/>
            <w:gridCol w:w="195"/>
            <w:gridCol w:w="240"/>
          </w:tblGrid>
        </w:tblGridChange>
      </w:tblGrid>
      <w:tr>
        <w:trPr>
          <w:cantSplit w:val="0"/>
          <w:trHeight w:val="1010.39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LISTA DE VERIFICAÇÃO DA FASE EXTERNA DA LICITAÇÃO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6297.0" w:type="dxa"/>
                  <w:jc w:val="left"/>
                  <w:tblInd w:w="-1.9999999999999998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6297"/>
                  <w:tblGridChange w:id="0">
                    <w:tblGrid>
                      <w:gridCol w:w="6297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d9d9d9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04">
                      <w:pPr>
                        <w:keepNext w:val="0"/>
                        <w:keepLines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rFonts w:ascii="Cambria" w:cs="Cambria" w:eastAsia="Cambria" w:hAnsi="Cambria"/>
                          <w:b w:val="1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rtl w:val="0"/>
                        </w:rPr>
                        <w:t xml:space="preserve">IDENTIFICAÇÃO DA LICITAÇÃO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05">
                      <w:pPr>
                        <w:ind w:hanging="2"/>
                        <w:jc w:val="both"/>
                        <w:rPr>
                          <w:rFonts w:ascii="Cambria" w:cs="Cambria" w:eastAsia="Cambria" w:hAnsi="Cambria"/>
                          <w:b w:val="1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highlight w:val="white"/>
                          <w:rtl w:val="0"/>
                        </w:rPr>
                        <w:t xml:space="preserve">Nº DO PROCESSO:_____________________________________Nº DO PREGÃO:___________________________________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06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0"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Legenda: </w:t>
      </w:r>
    </w:p>
    <w:sdt>
      <w:sdtPr>
        <w:lock w:val="contentLocked"/>
        <w:tag w:val="goog_rdk_1"/>
      </w:sdtPr>
      <w:sdtContent>
        <w:tbl>
          <w:tblPr>
            <w:tblStyle w:val="Table3"/>
            <w:tblW w:w="6705.0" w:type="dxa"/>
            <w:jc w:val="left"/>
            <w:tblInd w:w="12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90"/>
            <w:gridCol w:w="1290"/>
            <w:gridCol w:w="1770"/>
            <w:gridCol w:w="2355"/>
            <w:tblGridChange w:id="0">
              <w:tblGrid>
                <w:gridCol w:w="1290"/>
                <w:gridCol w:w="1290"/>
                <w:gridCol w:w="1770"/>
                <w:gridCol w:w="2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EP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NA</w:t>
                </w:r>
              </w:p>
            </w:tc>
          </w:tr>
          <w:tr>
            <w:trPr>
              <w:cantSplit w:val="0"/>
              <w:trHeight w:val="377.919921874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Sim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Em parte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Não  se aplica</w:t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ind w:left="0"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87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45"/>
            <w:gridCol w:w="1425"/>
            <w:gridCol w:w="1530"/>
            <w:tblGridChange w:id="0">
              <w:tblGrid>
                <w:gridCol w:w="5745"/>
                <w:gridCol w:w="1425"/>
                <w:gridCol w:w="15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VERIFICAÇÃO PARA BENS E SERVIÇOS COMUNS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S/N/EP/NA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eDOC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o comprovante da publicação do edital no PNCP e de seu extrato no DOM e em jornal de grande circulação (art. 54, caput e § 1º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extrato do edital, consta a definição do objeto da licitação, o número do processo, a indicação do local, dias e horários em que o edital poderá ser obtido na íntegra, bem como o local de realização do certame (eletrônico ou presencial)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caso de demanda de TIC, houve publicação do Documento de Oficialização da Demanda, do Estudo Técnico Preliminar e do Termo de Referência no sítio eletrônico da Prefeitura, até a data de publicação do edital da licitação?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Após a fase de lances, foi verificado se havia fornecedor com direito ao exercício de preferência, conforme regulamentos?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Após cada desclassificação ou inabilitação, o direito de margem de preferência e o exercício dos benefícios da Lei Complementar nº 123/2006 foram reanalisados?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Se for o caso, a Declaração de Origem apresenta conformidade com a legislação referente à margem de preferência (art. 26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Houve manifestação técnica quanto à aceitação da proposta, da amostra ou quanto ao julgamento da licitação por parte das áreas demandantes (beneficiária ou especialista)?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Existe compatibilidade entre a especificação constante no edital, a proposta lançada no Comprasnet, a proposta escrita enviada pela licitante e as informações adicionais do produto (catálogo, ficha técnica, marca, referência, etc) (art. 59, I a V, §§ 1º e 2º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Há compatibilidade entre o objeto do atestado de capacidade técnica, o objeto da licitação (restrito às parcelas de maior relevância ou valor significativo do objeto) e as atividades econômicas principais e/ou secundárias da empresa licitante (art. 67, II e § 1º da Lei nº 14.133/2021)?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declaração do licitante de que cumpre as exigências de reserva de cargos para pessoa com deficiência e para reabilitado da Previdência Social, previstas em lei e em outras normas específicas (inciso IV, art. 63,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na instrução processual as propostas e documentos de habilitação, conforme exigidos no edital (art. 17, III e V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na instrução processual as Atas, relatórios e decisões do pregoeiro e equipe de apoio?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Constam no processo os documentos do licitante classificado em primeiro lugar, em conformidade e sem restrição para contratar com a Administração (inciso II, art. 63 ou § 1º do art. 68 da Lei nº 14.133/2021), sendo? </w:t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a)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SICAF?</w:t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b)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Regularidade perante a Justiça do Trabalho (CNDT)?</w:t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c)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CNIA – Cadastro Nacional de Condenações por Improbidade Administrativa (CNJ)?</w:t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CEIS – Cadastro de Empresas Inidôneas e Suspensas (CGU)?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e)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Cadastro de Inidôneos e Cadastro de Inabilitados (TCU)</w:t>
                </w:r>
              </w:p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Observação: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As certidões exigidas nos itens “c”, “d” e “e” devem ser consultadas também em nome do sócio majoritário do licitante, e no caso de pessoa jurídica, podem ser substituídas por certidão consolidada do TCU.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Houve tentativa de negociação com o melhor classificado, visando obter melhor preço, ainda que o valor estivesse abaixo do estimado (art. 61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caso de utilização de material que não faz parte da tabela SINAPI, foi aplicado o mesmo desconto concedido aos preços desta (Acórdão TCU 1238/2016 – item 9.2.3)?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Caso esteja previsto no edital, a proposta final com os valores readequados ao valor total ofertado ou negociados com o melhor classificado (incluindo a correspondente planilha de custos, se for o caso) está anexada ao processo?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Houve manifestação da intenção de recorrer dos licitantes (inciso I, §1º do art. 165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caso de manifestação de intenção de recurso (art. 165, I, “b” e “c” da Lei nº 14.133/2021):</w:t>
                </w:r>
              </w:p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a)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No juízo de admissibilidade das intenções de recurso, o pregoeiro avaliou somente os pressupostos recursais (sucumbência, tempestividade, legitimidade, interesse e motivação) concedendo o prazo adequado para fins de apresentar as razões de recorrer posteriormente? </w:t>
                </w:r>
              </w:p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b)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Foram observados os prazos para apresentação e julgamento do recurso (3 dias úteis para apresentação das razões do recurso, 3 dias úteis para contrarrazões e 3 dias úteis para decisão do pregoeiro) (art. 165, § 1º, I e §§ 2º e 4º da Lei nº 14.133/2021)? </w:t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c)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Foram redigidos relatórios e deliberações do pregoeiro referentes aos recursos, com sua decisão motivada?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O pregoeiro divulgou com clareza no Comprasnet as informações relativas à data e hora das sessões públicas, sua suspensão e reinício em respeito aos princípios da publicidade, transparência e isonomia 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Na hipótese de necessidade de suspensão da sessão pública, foi observado o prazo mínimo de vinte e quatro horas após a comunicação do fato aos participantes, para o seu reinício?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Se for o caso, houve registro de fato indicando a conduta e as evidências de infração previstas no art. 155 da Lei nº 14.133/2021, e consequente recomendação para a autoridade competente proceder a instauração de processo de penalidade (artigos 156, 157 e 158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ind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86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DECLARAÇÃO DO PREGOEIRO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Declaro que não possuo qualquer parentesco, até o terceiro grau, ou vínculo de amizade com quaisquer dos sócios/administradores das empresas participantes do procedimento licitatório em análise.</w:t>
                </w:r>
              </w:p>
              <w:p w:rsidR="00000000" w:rsidDel="00000000" w:rsidP="00000000" w:rsidRDefault="00000000" w:rsidRPr="00000000" w14:paraId="00000079">
                <w:pPr>
                  <w:ind w:hanging="2"/>
                  <w:jc w:val="righ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ind w:hanging="2"/>
                  <w:jc w:val="righ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Porto Velho, ______ de__________________de 20________.</w:t>
                </w:r>
              </w:p>
              <w:p w:rsidR="00000000" w:rsidDel="00000000" w:rsidP="00000000" w:rsidRDefault="00000000" w:rsidRPr="00000000" w14:paraId="0000007B">
                <w:pPr>
                  <w:ind w:hanging="2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________________________________________________</w:t>
                </w:r>
              </w:p>
              <w:p w:rsidR="00000000" w:rsidDel="00000000" w:rsidP="00000000" w:rsidRDefault="00000000" w:rsidRPr="00000000" w14:paraId="0000007D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Nome e Assinatura do Pregoeiro</w:t>
                </w:r>
              </w:p>
            </w:tc>
          </w:tr>
        </w:tbl>
      </w:sdtContent>
    </w:sdt>
    <w:p w:rsidR="00000000" w:rsidDel="00000000" w:rsidP="00000000" w:rsidRDefault="00000000" w:rsidRPr="00000000" w14:paraId="0000007E">
      <w:pPr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87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0"/>
            <w:tblGridChange w:id="0">
              <w:tblGrid>
                <w:gridCol w:w="8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DECLARAÇÃO DA AUTORIDADE COMPETENTE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Declaro que o processo licitatório cumpriu os procedimentos definidos em lei e delibero pela homologação do resultado da licitação.</w:t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ind w:hanging="2"/>
                  <w:jc w:val="righ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Porto Velho, ______ de__________________de 20________.</w:t>
                </w:r>
              </w:p>
              <w:p w:rsidR="00000000" w:rsidDel="00000000" w:rsidP="00000000" w:rsidRDefault="00000000" w:rsidRPr="00000000" w14:paraId="00000083">
                <w:pPr>
                  <w:ind w:hanging="2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___________________________________________________________</w:t>
                </w:r>
              </w:p>
              <w:p w:rsidR="00000000" w:rsidDel="00000000" w:rsidP="00000000" w:rsidRDefault="00000000" w:rsidRPr="00000000" w14:paraId="00000085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Nome e Assinatura da Autoridade Competente</w:t>
                </w:r>
              </w:p>
            </w:tc>
          </w:tr>
        </w:tbl>
      </w:sdtContent>
    </w:sdt>
    <w:p w:rsidR="00000000" w:rsidDel="00000000" w:rsidP="00000000" w:rsidRDefault="00000000" w:rsidRPr="00000000" w14:paraId="00000086">
      <w:pPr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25.0" w:type="dxa"/>
        <w:jc w:val="left"/>
        <w:tblInd w:w="-82.0" w:type="dxa"/>
        <w:tblLayout w:type="fixed"/>
        <w:tblLook w:val="0000"/>
      </w:tblPr>
      <w:tblGrid>
        <w:gridCol w:w="6495"/>
        <w:gridCol w:w="2310"/>
        <w:gridCol w:w="180"/>
        <w:gridCol w:w="240"/>
        <w:tblGridChange w:id="0">
          <w:tblGrid>
            <w:gridCol w:w="6495"/>
            <w:gridCol w:w="2310"/>
            <w:gridCol w:w="180"/>
            <w:gridCol w:w="240"/>
          </w:tblGrid>
        </w:tblGridChange>
      </w:tblGrid>
      <w:tr>
        <w:trPr>
          <w:cantSplit w:val="0"/>
          <w:trHeight w:val="1010.39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6615"/>
              </w:tabs>
              <w:ind w:left="-1.9999999999999998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LISTA DE VERIFICAÇÃO DA FASE EXTERNA DA LICITAÇÃO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"/>
            </w:sdtPr>
            <w:sdtContent>
              <w:tbl>
                <w:tblPr>
                  <w:tblStyle w:val="Table8"/>
                  <w:tblW w:w="6297.0" w:type="dxa"/>
                  <w:jc w:val="left"/>
                  <w:tblInd w:w="-1.9999999999999998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6297"/>
                  <w:tblGridChange w:id="0">
                    <w:tblGrid>
                      <w:gridCol w:w="6297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d9d9d9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A">
                      <w:pPr>
                        <w:widowControl w:val="0"/>
                        <w:ind w:firstLine="0"/>
                        <w:jc w:val="center"/>
                        <w:rPr>
                          <w:rFonts w:ascii="Cambria" w:cs="Cambria" w:eastAsia="Cambria" w:hAnsi="Cambria"/>
                          <w:b w:val="1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rtl w:val="0"/>
                        </w:rPr>
                        <w:t xml:space="preserve">IDENTIFICAÇÃO DA LICITAÇÃO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B">
                      <w:pPr>
                        <w:ind w:hanging="2"/>
                        <w:jc w:val="both"/>
                        <w:rPr>
                          <w:rFonts w:ascii="Cambria" w:cs="Cambria" w:eastAsia="Cambria" w:hAnsi="Cambria"/>
                          <w:b w:val="1"/>
                        </w:rPr>
                      </w:pPr>
                      <w:r w:rsidDel="00000000" w:rsidR="00000000" w:rsidRPr="00000000">
                        <w:rPr>
                          <w:rFonts w:ascii="Cambria" w:cs="Cambria" w:eastAsia="Cambria" w:hAnsi="Cambria"/>
                          <w:b w:val="1"/>
                          <w:highlight w:val="white"/>
                          <w:rtl w:val="0"/>
                        </w:rPr>
                        <w:t xml:space="preserve">Nº DO PROCESSO:_____________________________________Nº DO PREGÃO:___________________________________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C">
            <w:pPr>
              <w:tabs>
                <w:tab w:val="left" w:leader="none" w:pos="6615"/>
              </w:tabs>
              <w:ind w:left="-1.9999999999999998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hanging="2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ind w:hanging="2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Legenda: </w:t>
      </w:r>
    </w:p>
    <w:sdt>
      <w:sdtPr>
        <w:lock w:val="contentLocked"/>
        <w:tag w:val="goog_rdk_6"/>
      </w:sdtPr>
      <w:sdtContent>
        <w:tbl>
          <w:tblPr>
            <w:tblStyle w:val="Table9"/>
            <w:tblW w:w="6705.0" w:type="dxa"/>
            <w:jc w:val="left"/>
            <w:tblInd w:w="12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90"/>
            <w:gridCol w:w="1290"/>
            <w:gridCol w:w="1770"/>
            <w:gridCol w:w="2355"/>
            <w:tblGridChange w:id="0">
              <w:tblGrid>
                <w:gridCol w:w="1290"/>
                <w:gridCol w:w="1290"/>
                <w:gridCol w:w="1770"/>
                <w:gridCol w:w="2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EP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NA</w:t>
                </w:r>
              </w:p>
            </w:tc>
          </w:tr>
          <w:tr>
            <w:trPr>
              <w:cantSplit w:val="0"/>
              <w:trHeight w:val="377.919921874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Sim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Em parte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1"/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Não  se aplica</w:t>
                </w:r>
              </w:p>
            </w:tc>
          </w:tr>
        </w:tbl>
      </w:sdtContent>
    </w:sdt>
    <w:p w:rsidR="00000000" w:rsidDel="00000000" w:rsidP="00000000" w:rsidRDefault="00000000" w:rsidRPr="00000000" w14:paraId="00000099">
      <w:pPr>
        <w:ind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hanging="2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0"/>
            <w:tblW w:w="87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865"/>
            <w:gridCol w:w="1365"/>
            <w:gridCol w:w="1470"/>
            <w:tblGridChange w:id="0">
              <w:tblGrid>
                <w:gridCol w:w="5865"/>
                <w:gridCol w:w="1365"/>
                <w:gridCol w:w="14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VERIFICAÇÃO PARA OBRAS E SERVIÇOS DE ENGENHARIA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S/N/EP/NA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ind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Nº SEI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o comprovante da publicação do edital no PNCP e de seu extrato no DOM e em jornal de grande circulação (art. 54, caput e § 1º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extrato do edital, consta a definição do objeto da licitação, o número do processo, a indicação do local, dias e horários em que o edital poderá ser obtido na íntegra, bem como o local de realização do certame (eletrônico ou presencial)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Após a fase de lances, foi verificado se havia fornecedor com direito ao exercício de preferência, conforme regulamentos?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Após cada desclassificação ou inabilitação, o direito de margem de preferência e o exercício dos benefícios da Lei Complementar nº 123/2006 foram reanalisados?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Se for o caso, a Declaração de Origem apresenta conformidade com a legislação referente à margem de preferência (art. 26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Houve manifestação técnica quanto à aceitação da proposta, da amostra ou quanto ao julgamento da licitação por parte das áreas demandantes (beneficiária ou especialista)?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Existe compatibilidade entre a especificação constante no edital, a proposta lançada no Comprasnet, a proposta escrita enviada pela licitante e as informações adicionais do produto (catálogo, ficha técnica, marca, referência, etc) (art. 59, I a V, §§ 1º e 2º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Há compatibilidade entre o objeto do atestado de capacidade técnica, o objeto da licitação (restrito às parcelas de maior relevância ou valor significativo do objeto) e as atividades econômicas principais e/ou secundárias da empresa licitante (art. 67, II e § 1º da Lei nº 14.133/2021)?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declaração do licitante de que cumpre as exigências de reserva de cargos para pessoa com deficiência e para reabilitado da Previdência Social, previstas em lei e em outras normas específicas (inciso IV, art. 63,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0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na instrução processual as propostas e documentos de habilitação, conforme exigidos no edital (art. 17, III e V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 na instrução processual as Atas, relatórios e decisões do pregoeiro e equipe de apoio?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Constam no processo os documentos do licitante classificado em primeiro lugar, em conformidade e sem restrição para contratar com a Administração (inciso II, art. 63 ou § 1º do art. 68 da Lei nº 14.133/2021), sendo? </w:t>
                </w:r>
              </w:p>
              <w:p w:rsidR="00000000" w:rsidDel="00000000" w:rsidP="00000000" w:rsidRDefault="00000000" w:rsidRPr="00000000" w14:paraId="000000C0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1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a)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SICAF?</w:t>
                </w:r>
              </w:p>
              <w:p w:rsidR="00000000" w:rsidDel="00000000" w:rsidP="00000000" w:rsidRDefault="00000000" w:rsidRPr="00000000" w14:paraId="000000C2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b)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Regularidade perante a Justiça do Trabalho (CNDT)?</w:t>
                </w:r>
              </w:p>
              <w:p w:rsidR="00000000" w:rsidDel="00000000" w:rsidP="00000000" w:rsidRDefault="00000000" w:rsidRPr="00000000" w14:paraId="000000C3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c)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CNIA – Cadastro Nacional de Condenações por Improbidade Administrativa (CNJ)?</w:t>
                </w:r>
              </w:p>
              <w:p w:rsidR="00000000" w:rsidDel="00000000" w:rsidP="00000000" w:rsidRDefault="00000000" w:rsidRPr="00000000" w14:paraId="000000C4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CEIS – Cadastro de Empresas Inidôneas e Suspensas (CGU)?</w:t>
                </w:r>
              </w:p>
              <w:p w:rsidR="00000000" w:rsidDel="00000000" w:rsidP="00000000" w:rsidRDefault="00000000" w:rsidRPr="00000000" w14:paraId="000000C5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e)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Cadastro de Inidôneos e Cadastro de Inabilitados (TCU)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Observação: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As certidões exigidas nos itens “c”, “d” e “e” devem ser consultadas também em nome do sócio majoritário do licitante, e no caso de pessoa jurídica, podem ser substituídas por certidão consolidada do TCU.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9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A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B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C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D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CE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CF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0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D1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D3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Houve tentativa de negociação com o melhor classificado, visando obter melhor preço, ainda que o valor estivesse abaixo do estimado (art. 61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caso de utilização de material que não faz parte da tabela SINAPI, foi aplicado o mesmo desconto concedido aos preços desta (Acórdão TCU 1238/2016 – item 9.2.3)?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Caso esteja previsto no edital, a proposta final com os valores readequados ao valor total ofertado ou negociados com o melhor classificado (incluindo a correspondente planilha de custos, se for o caso) está anexada ao processo?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Houve manifestação da intenção de recorrer dos licitantes (inciso I, §1º do art. 165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caso de manifestação de intenção de recurso (art. 165, I, “b” e “c” da Lei nº 14.133/2021):</w:t>
                </w:r>
              </w:p>
              <w:p w:rsidR="00000000" w:rsidDel="00000000" w:rsidP="00000000" w:rsidRDefault="00000000" w:rsidRPr="00000000" w14:paraId="000000E2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3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a)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No juízo de admissibilidade das intenções de recurso, o pregoeiro avaliou somente os pressupostos recursais (sucumbência, tempestividade, legitimidade, interesse e motivação) concedendo o prazo adequado para fins de apresentar as razões de recorrer posteriormente? </w:t>
                </w:r>
              </w:p>
              <w:p w:rsidR="00000000" w:rsidDel="00000000" w:rsidP="00000000" w:rsidRDefault="00000000" w:rsidRPr="00000000" w14:paraId="000000E4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b)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Foram observados os prazos para apresentação e julgamento do recurso (3 dias úteis para apresentação das razões do recurso, 3 dias úteis para contrarrazões e 3 dias úteis para decisão do pregoeiro) (art. 165, § 1º, I e §§ 2º e 4º da Lei nº 14.133/2021)? </w:t>
                </w:r>
              </w:p>
              <w:p w:rsidR="00000000" w:rsidDel="00000000" w:rsidP="00000000" w:rsidRDefault="00000000" w:rsidRPr="00000000" w14:paraId="000000E5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c)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Foram redigidos relatórios e deliberações do pregoeiro referentes aos recursos, com sua decisão motivada?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7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8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9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A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B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C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D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EE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F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0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1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2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  <w:p w:rsidR="00000000" w:rsidDel="00000000" w:rsidP="00000000" w:rsidRDefault="00000000" w:rsidRPr="00000000" w14:paraId="000000F3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4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    (      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O pregoeiro divulgou com clareza no Comprasnet as informações relativas à data e hora das sessões públicas, sua suspensão e reinício em respeito aos princípios da publicidade, transparência e isonomia 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Na hipótese de necessidade de suspensão da sessão pública, foi observado o prazo mínimo de vinte e quatro horas após a comunicação do fato aos participantes, para o seu reinício?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widowControl w:val="0"/>
                  <w:ind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Se for o caso, houve registro de fato indicando a conduta e as evidências de infração previstas no art. 155 da Lei nº 14.133/2021, e consequente recomendação para a autoridade competente proceder a instauração de processo de penalidade (artigos 156, 157 e 158 da Lei nº 14.133/2021)?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widowControl w:val="0"/>
                  <w:ind w:firstLine="0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F">
      <w:pPr>
        <w:ind w:left="0" w:hanging="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1"/>
            <w:tblW w:w="86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DECLARAÇÃO DO PREGOEIRO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Declaro que não possuo qualquer parentesco, até o terceiro grau, ou vínculo de amizade com quaisquer dos sócios/administradores das empresas participantes do procedimento licitatório em análise.</w:t>
                </w:r>
              </w:p>
              <w:p w:rsidR="00000000" w:rsidDel="00000000" w:rsidP="00000000" w:rsidRDefault="00000000" w:rsidRPr="00000000" w14:paraId="00000102">
                <w:pPr>
                  <w:ind w:hanging="2"/>
                  <w:jc w:val="righ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Porto Velho, ______ de__________________de 20________.</w:t>
                </w:r>
              </w:p>
              <w:p w:rsidR="00000000" w:rsidDel="00000000" w:rsidP="00000000" w:rsidRDefault="00000000" w:rsidRPr="00000000" w14:paraId="00000103">
                <w:pPr>
                  <w:ind w:hanging="2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4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________________________________________________</w:t>
                </w:r>
              </w:p>
              <w:p w:rsidR="00000000" w:rsidDel="00000000" w:rsidP="00000000" w:rsidRDefault="00000000" w:rsidRPr="00000000" w14:paraId="00000105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Nome e Assinatura do Pregoeiro</w:t>
                </w:r>
              </w:p>
            </w:tc>
          </w:tr>
        </w:tbl>
      </w:sdtContent>
    </w:sdt>
    <w:p w:rsidR="00000000" w:rsidDel="00000000" w:rsidP="00000000" w:rsidRDefault="00000000" w:rsidRPr="00000000" w14:paraId="00000106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2"/>
            <w:tblW w:w="87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15"/>
            <w:tblGridChange w:id="0">
              <w:tblGrid>
                <w:gridCol w:w="87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DECLARAÇÃO DA AUTORIDADE COMPETENTE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Declaro que o processo licitatório cumpriu os procedimentos definidos em lei e delibero pela homologação do resultado da licitação.</w:t>
                </w:r>
              </w:p>
              <w:p w:rsidR="00000000" w:rsidDel="00000000" w:rsidP="00000000" w:rsidRDefault="00000000" w:rsidRPr="00000000" w14:paraId="00000109">
                <w:pPr>
                  <w:ind w:hanging="2"/>
                  <w:jc w:val="right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 Porto Velho, ______ de__________________de 20________.</w:t>
                </w:r>
              </w:p>
              <w:p w:rsidR="00000000" w:rsidDel="00000000" w:rsidP="00000000" w:rsidRDefault="00000000" w:rsidRPr="00000000" w14:paraId="0000010A">
                <w:pPr>
                  <w:ind w:hanging="2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B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___________________________________________________________</w:t>
                </w:r>
              </w:p>
              <w:p w:rsidR="00000000" w:rsidDel="00000000" w:rsidP="00000000" w:rsidRDefault="00000000" w:rsidRPr="00000000" w14:paraId="0000010C">
                <w:pPr>
                  <w:ind w:hanging="2"/>
                  <w:jc w:val="center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Nome e Assinatura da Autoridade Competente</w:t>
                </w:r>
              </w:p>
            </w:tc>
          </w:tr>
        </w:tbl>
      </w:sdtContent>
    </w:sdt>
    <w:p w:rsidR="00000000" w:rsidDel="00000000" w:rsidP="00000000" w:rsidRDefault="00000000" w:rsidRPr="00000000" w14:paraId="0000010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851" w:left="1701" w:right="1134" w:header="720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PREFEITURA DO MUNICÍPIO DE PORTO VELHO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114935</wp:posOffset>
          </wp:positionH>
          <wp:positionV relativeFrom="paragraph">
            <wp:posOffset>0</wp:posOffset>
          </wp:positionV>
          <wp:extent cx="704850" cy="560483"/>
          <wp:effectExtent b="0" l="0" r="0" t="0"/>
          <wp:wrapSquare wrapText="bothSides" distB="0" distT="0" distL="114935" distR="114935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5604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F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…………………….... </w:t>
    </w:r>
  </w:p>
  <w:p w:rsidR="00000000" w:rsidDel="00000000" w:rsidP="00000000" w:rsidRDefault="00000000" w:rsidRPr="00000000" w14:paraId="00000110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Anexo L do Decreto nº XX.XXXX/XXXXX</w:t>
    </w:r>
  </w:p>
  <w:p w:rsidR="00000000" w:rsidDel="00000000" w:rsidP="00000000" w:rsidRDefault="00000000" w:rsidRPr="00000000" w14:paraId="00000112">
    <w:pPr>
      <w:widowControl w:val="0"/>
      <w:tabs>
        <w:tab w:val="center" w:leader="none" w:pos="4419"/>
        <w:tab w:val="right" w:leader="none" w:pos="8838"/>
      </w:tabs>
      <w:ind w:firstLine="0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3"/>
      <w:tblW w:w="9480.0" w:type="dxa"/>
      <w:jc w:val="left"/>
      <w:tblInd w:w="15.0" w:type="dxa"/>
      <w:tblLayout w:type="fixed"/>
      <w:tblLook w:val="0000"/>
    </w:tblPr>
    <w:tblGrid>
      <w:gridCol w:w="1875"/>
      <w:gridCol w:w="5955"/>
      <w:gridCol w:w="1650"/>
      <w:tblGridChange w:id="0">
        <w:tblGrid>
          <w:gridCol w:w="1875"/>
          <w:gridCol w:w="5955"/>
          <w:gridCol w:w="1650"/>
        </w:tblGrid>
      </w:tblGridChange>
    </w:tblGrid>
    <w:tr>
      <w:trPr>
        <w:cantSplit w:val="0"/>
        <w:trHeight w:val="761.92382812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jc w:val="left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5">
          <w:pPr>
            <w:tabs>
              <w:tab w:val="left" w:leader="none" w:pos="6615"/>
            </w:tabs>
            <w:ind w:left="0" w:hanging="2"/>
            <w:jc w:val="left"/>
            <w:rPr>
              <w:rFonts w:ascii="Calibri" w:cs="Calibri" w:eastAsia="Calibri" w:hAnsi="Calibri"/>
              <w:b w:val="1"/>
              <w:sz w:val="24"/>
              <w:szCs w:val="2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6">
          <w:pPr>
            <w:tabs>
              <w:tab w:val="left" w:leader="none" w:pos="6615"/>
            </w:tabs>
            <w:ind w:left="0" w:hanging="2"/>
            <w:jc w:val="center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Arial" w:cs="Arial" w:eastAsia="Arial" w:hAnsi="Arial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Arial" w:cs="Arial" w:eastAsia="Arial" w:hAnsi="Arial"/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0" w:hanging="1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0" w:hanging="1"/>
      <w:jc w:val="right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</w:pPr>
    <w:rPr>
      <w:rFonts w:ascii="Arial" w:cs="Arial" w:hAnsi="Arial"/>
      <w:b w:val="1"/>
      <w:sz w:val="1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ind w:left="-1" w:hanging="1"/>
      <w:jc w:val="center"/>
      <w:outlineLvl w:val="1"/>
    </w:pPr>
    <w:rPr>
      <w:rFonts w:ascii="Arial" w:cs="Arial" w:hAnsi="Arial"/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1"/>
      </w:numPr>
      <w:ind w:left="-1" w:hanging="1"/>
      <w:outlineLvl w:val="2"/>
    </w:pPr>
    <w:rPr>
      <w:rFonts w:ascii="Arial" w:cs="Arial" w:hAnsi="Arial"/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1"/>
      </w:numPr>
      <w:ind w:left="-1" w:hanging="1"/>
      <w:jc w:val="right"/>
      <w:outlineLvl w:val="3"/>
    </w:pPr>
    <w:rPr>
      <w:rFonts w:ascii="Arial" w:cs="Arial" w:hAnsi="Arial"/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numPr>
        <w:ilvl w:val="4"/>
        <w:numId w:val="1"/>
      </w:numPr>
      <w:ind w:left="-1" w:hanging="1"/>
      <w:jc w:val="center"/>
      <w:outlineLvl w:val="4"/>
    </w:pPr>
    <w:rPr>
      <w:rFonts w:ascii="Arial" w:cs="Arial" w:hAnsi="Arial"/>
      <w:b w:val="1"/>
      <w:sz w:val="24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WWCharLFO1LVL1" w:customStyle="1">
    <w:name w:val="WW_CharLFO1LVL1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Cs w:val="21"/>
      <w:effect w:val="none"/>
      <w:vertAlign w:val="baseline"/>
      <w:cs w:val="0"/>
      <w:em w:val="none"/>
    </w:rPr>
  </w:style>
  <w:style w:type="character" w:styleId="CabealhoChar1" w:customStyle="1">
    <w:name w:val="Cabeçalho Char1"/>
    <w:rPr>
      <w:w w:val="100"/>
      <w:position w:val="-1"/>
      <w:szCs w:val="21"/>
      <w:effect w:val="none"/>
      <w:vertAlign w:val="baseline"/>
      <w:cs w:val="0"/>
      <w:em w:val="none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1"/>
      <w:szCs w:val="28"/>
    </w:rPr>
  </w:style>
  <w:style w:type="paragraph" w:styleId="Corpodetexto">
    <w:name w:val="Body Text"/>
    <w:basedOn w:val="Normal"/>
    <w:pPr>
      <w:jc w:val="both"/>
    </w:pPr>
    <w:rPr>
      <w:rFonts w:ascii="Arial" w:cs="Arial" w:hAnsi="Arial"/>
      <w:b w:val="1"/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pPr>
      <w:jc w:val="center"/>
    </w:pPr>
    <w:rPr>
      <w:b w:val="1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21" w:customStyle="1">
    <w:name w:val="Corpo de texto 21"/>
    <w:basedOn w:val="Normal"/>
    <w:pPr>
      <w:jc w:val="both"/>
    </w:pPr>
    <w:rPr>
      <w:rFonts w:ascii="Arial" w:cs="Arial" w:hAnsi="Arial"/>
      <w:bCs w:val="1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balo">
    <w:name w:val="Balloon Text"/>
    <w:basedOn w:val="Normal"/>
    <w:rPr>
      <w:rFonts w:ascii="Segoe UI" w:cs="Segoe UI" w:hAnsi="Segoe UI"/>
      <w:sz w:val="18"/>
      <w:szCs w:val="18"/>
    </w:rPr>
  </w:style>
  <w:style w:type="paragraph" w:styleId="Corpodetexto22" w:customStyle="1">
    <w:name w:val="Corpo de texto 22"/>
    <w:basedOn w:val="Normal"/>
    <w:pPr>
      <w:jc w:val="both"/>
    </w:pPr>
    <w:rPr>
      <w:rFonts w:ascii="Arial" w:cs="Arial" w:eastAsia="Arial" w:hAnsi="Arial"/>
      <w:bCs w:val="1"/>
    </w:rPr>
  </w:style>
  <w:style w:type="paragraph" w:styleId="western" w:customStyle="1">
    <w:name w:val="western"/>
    <w:basedOn w:val="Normal"/>
    <w:pPr>
      <w:suppressAutoHyphens w:val="1"/>
      <w:spacing w:after="119" w:before="100"/>
    </w:pPr>
    <w:rPr>
      <w:sz w:val="24"/>
      <w:szCs w:val="24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Arial" w:cs="Mangal" w:eastAsia="SimSun" w:hAnsi="Arial"/>
      <w:kern w:val="1"/>
      <w:position w:val="-1"/>
      <w:szCs w:val="24"/>
      <w:lang w:bidi="hi-IN" w:eastAsia="zh-CN"/>
    </w:rPr>
  </w:style>
  <w:style w:type="paragraph" w:styleId="PargrafodaLista">
    <w:name w:val="List Paragraph"/>
    <w:basedOn w:val="LO-Normal"/>
    <w:pPr>
      <w:ind w:left="720" w:firstLine="0"/>
    </w:pPr>
    <w:rPr>
      <w:szCs w:val="21"/>
    </w:rPr>
  </w:style>
  <w:style w:type="paragraph" w:styleId="Recuodecorpodetexto21" w:customStyle="1">
    <w:name w:val="Recuo de corpo de texto 21"/>
    <w:basedOn w:val="Normal"/>
    <w:pPr>
      <w:tabs>
        <w:tab w:val="left" w:pos="6615"/>
      </w:tabs>
      <w:spacing w:line="260" w:lineRule="atLeast"/>
      <w:ind w:left="-900" w:firstLine="0"/>
    </w:pPr>
    <w:rPr>
      <w:rFonts w:ascii="Arial" w:cs="Arial" w:eastAsia="Arial" w:hAnsi="Arial"/>
      <w:bCs w:val="1"/>
      <w:sz w:val="22"/>
    </w:rPr>
  </w:style>
  <w:style w:type="paragraph" w:styleId="Corpodetexto31" w:customStyle="1">
    <w:name w:val="Corpo de texto 31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bCs w:val="1"/>
      <w:u w:val="single"/>
    </w:rPr>
  </w:style>
  <w:style w:type="paragraph" w:styleId="Contedodoquadro" w:customStyle="1">
    <w:name w:val="Conteúdo do quadro"/>
    <w:basedOn w:val="Normal"/>
  </w:style>
  <w:style w:type="paragraph" w:styleId="Corpodetexto32" w:customStyle="1">
    <w:name w:val="Corpo de texto 32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bCs w:val="1"/>
      <w:u w:val="single"/>
    </w:rPr>
  </w:style>
  <w:style w:type="paragraph" w:styleId="Recuodecorpodetexto22" w:customStyle="1">
    <w:name w:val="Recuo de corpo de texto 22"/>
    <w:basedOn w:val="Normal"/>
    <w:pPr>
      <w:tabs>
        <w:tab w:val="left" w:pos="6615"/>
      </w:tabs>
      <w:spacing w:line="260" w:lineRule="atLeast"/>
      <w:ind w:left="-900" w:firstLine="0"/>
    </w:pPr>
    <w:rPr>
      <w:rFonts w:ascii="Arial" w:cs="Arial" w:eastAsia="Arial" w:hAnsi="Arial"/>
      <w:bCs w:val="1"/>
      <w:sz w:val="22"/>
    </w:rPr>
  </w:style>
  <w:style w:type="paragraph" w:styleId="Recuodecorpodetexto">
    <w:name w:val="Body Text Indent"/>
    <w:basedOn w:val="Normal"/>
    <w:pPr>
      <w:tabs>
        <w:tab w:val="left" w:pos="6615"/>
      </w:tabs>
      <w:spacing w:line="260" w:lineRule="atLeast"/>
      <w:ind w:left="-900" w:firstLine="0"/>
      <w:jc w:val="both"/>
    </w:pPr>
    <w:rPr>
      <w:rFonts w:ascii="Arial" w:cs="Arial" w:eastAsia="Arial" w:hAnsi="Arial"/>
      <w:b w:val="1"/>
    </w:rPr>
  </w:style>
  <w:style w:type="paragraph" w:styleId="Corpodetexto23" w:customStyle="1">
    <w:name w:val="Corpo de texto 23"/>
    <w:basedOn w:val="Normal"/>
    <w:pPr>
      <w:tabs>
        <w:tab w:val="left" w:pos="6615"/>
      </w:tabs>
      <w:spacing w:line="139" w:lineRule="atLeast"/>
      <w:jc w:val="both"/>
    </w:pPr>
    <w:rPr>
      <w:rFonts w:ascii="Arial" w:cs="Arial" w:eastAsia="Arial" w:hAnsi="Arial"/>
      <w:b w:val="1"/>
      <w:u w:val="single"/>
    </w:rPr>
  </w:style>
  <w:style w:type="paragraph" w:styleId="NormalWeb">
    <w:name w:val="Normal (Web)"/>
    <w:basedOn w:val="LO-Normal1"/>
    <w:pPr>
      <w:suppressAutoHyphens w:val="1"/>
      <w:spacing w:after="100" w:before="100"/>
      <w:textAlignment w:val="auto"/>
    </w:pPr>
    <w:rPr>
      <w:rFonts w:ascii="Times New Roman" w:cs="Times New Roman" w:eastAsia="Times New Roman" w:hAnsi="Times New Roman"/>
      <w:kern w:val="0"/>
      <w:lang w:bidi="ar-SA"/>
    </w:rPr>
  </w:style>
  <w:style w:type="paragraph" w:styleId="LO-Normal1" w:customStyle="1">
    <w:name w:val="LO-Normal1"/>
    <w:pPr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Arial" w:cs="Mangal" w:eastAsia="SimSun" w:hAnsi="Arial"/>
      <w:kern w:val="1"/>
      <w:position w:val="-1"/>
      <w:szCs w:val="24"/>
      <w:lang w:bidi="hi-IN" w:eastAsia="zh-CN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elacomgrade">
    <w:name w:val="Table Grid"/>
    <w:basedOn w:val="Tabelanormal"/>
    <w:uiPriority w:val="39"/>
    <w:rsid w:val="007F67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5WKl87KGTfG0hxqtYACy4J0FQ==">CgMxLjAaHwoBMBIaChgICVIUChJ0YWJsZS5keTd4YW1ndzBxY2QaHwoBMRIaChgICVIUChJ0YWJsZS5ub2RjeXQ1NHl4Y3QaHwoBMhIaChgICVIUChJ0YWJsZS43MTYzdmhtZTFzM2IaHwoBMxIaChgICVIUChJ0YWJsZS5heHk3MmF4bWg0eWQaHwoBNBIaChgICVIUChJ0YWJsZS52YzBpY3l1eWUzOWUaHwoBNRIaChgICVIUChJ0YWJsZS5rNzRodXF2ZDZlb2UaHgoBNhIZChcICVITChF0YWJsZS5nYmZuMHl1dzY5OBofCgE3EhoKGAgJUhQKEnRhYmxlLjZlamMzYzFvZjhjaRofCgE4EhoKGAgJUhQKEnRhYmxlLnJkZXVrYmYycGVuMxofCgE5EhoKGAgJUhQKEnRhYmxlLmdyemNlNzluMmN5ZzgAciExaFU2bDV3aExNMnhqUl9iTEdGdXBhZHdLWVZlTWt5b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2023-10-11T03:36:00Z</dcterms:created>
  <dc:creator>AUDITORIA GERAL</dc:creator>
</cp:coreProperties>
</file>