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685"/>
        <w:gridCol w:w="1200"/>
        <w:tblGridChange w:id="0">
          <w:tblGrid>
            <w:gridCol w:w="495"/>
            <w:gridCol w:w="8685"/>
            <w:gridCol w:w="12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ou Contratada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da contratante (ou contratada) solicitando à contratada (ou contratante)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revisão do valor do contrato para restabelecer o equilíbrio econômico-financeiro inicial do contrato em caso de força maior, caso fortuito ou fato do príncipe ou em decorrência de fatos imprevisíveis ou previsíveis de consequências incalculáveis, que inviabilizam a execução do contrato tal como pactuado (alínea “d”, inciso II, art. 124 da Lei Federal nº 14.133/2021).</w:t>
            </w:r>
          </w:p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Anexar ao ofício o cálculo da variação dos custos com as devidas comprovações.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highlight w:val="white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u w:val="single"/>
                <w:rtl w:val="0"/>
              </w:rPr>
              <w:t xml:space="preserve">O pedido de restabelecimento do equilíbrio econômico-financeiro deverá ser formulado durante a vigência do contrato e antes de eventual prorrogação (Parágrafo único, art. 131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ou Contratada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contendo resposta da contratante (ou contratada).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fim de demonstrar que há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dotações suficientes para o custeio das respectivas despesas (art. 105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Dispensado o parecer da SGP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3º,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Dispensado o parecer da PGM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3º,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Apostilamento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 (art. 9º do Decreto de padronização de procedimentos e art. 136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Apostilamento no D.O.M.E.R. e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VII, art. 16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36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XXII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Revisão do Contrato (alínea “d”, inciso II, art. 124 da Lei Federal nº 14.133/2021)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