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29/SEMES/2019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10 de Setembro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13.00058-00/2019.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Nove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 abaixo relacionado, para se deslocar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em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ao Distrito de Jac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i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Paraná, por meio de transporte terrestre, onde os mesmos farão um trabalho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de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Pinturas, Marcações do Campo, Limpeza dos Banheiros,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Limpeza dos Espaços,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antes e depois do evento,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no período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18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/2019 à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27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/2019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. Conforme solicitação constante no Memorando nº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217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/DEL/SEMES de 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2160"/>
        <w:gridCol w:w="840"/>
        <w:gridCol w:w="1140"/>
        <w:gridCol w:w="1697"/>
        <w:gridCol w:w="975"/>
        <w:gridCol w:w="1290"/>
        <w:gridCol w:w="1306"/>
      </w:tblGrid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13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Deniso de Oliveira Gomes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308420</w:t>
            </w:r>
          </w:p>
        </w:tc>
        <w:tc>
          <w:tcPr>
            <w:tcW w:w="11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Administrador Quadra de Esportes</w:t>
            </w:r>
          </w:p>
        </w:tc>
        <w:tc>
          <w:tcPr>
            <w:tcW w:w="16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Distritos de Jaci Paraná-RO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R$ 75,02</w:t>
            </w:r>
          </w:p>
        </w:tc>
        <w:tc>
          <w:tcPr>
            <w:tcW w:w="13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</w:t>
            </w:r>
            <w:r>
              <w:rPr>
                <w:rFonts w:ascii="Times New Roman" w:hAnsi="Times New Roman"/>
              </w:rPr>
              <w:t>712,69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R$ 37,51</w:t>
            </w:r>
          </w:p>
        </w:tc>
        <w:tc>
          <w:tcPr>
            <w:tcW w:w="13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J</w:t>
            </w:r>
            <w:r>
              <w:rPr/>
              <w:t>oão Bosco Rodrigues Bezerra Rocha Segundo</w:t>
            </w:r>
          </w:p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1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Gerente de Divisão</w:t>
            </w:r>
          </w:p>
        </w:tc>
        <w:tc>
          <w:tcPr>
            <w:tcW w:w="16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0" w:name="__DdeLink__195_3678101503"/>
            <w:r>
              <w:rPr>
                <w:rFonts w:ascii="Times New Roman" w:hAnsi="Times New Roman"/>
              </w:rPr>
              <w:t>Distritos de Jaci Paraná-RO</w:t>
            </w:r>
            <w:bookmarkEnd w:id="0"/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R$ 75,02</w:t>
            </w:r>
          </w:p>
        </w:tc>
        <w:tc>
          <w:tcPr>
            <w:tcW w:w="13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712,69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R$ 37,51</w:t>
            </w:r>
          </w:p>
        </w:tc>
        <w:tc>
          <w:tcPr>
            <w:tcW w:w="13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José Carlos Mendonça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172916</w:t>
            </w:r>
          </w:p>
        </w:tc>
        <w:tc>
          <w:tcPr>
            <w:tcW w:w="11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Gari</w:t>
            </w:r>
          </w:p>
        </w:tc>
        <w:tc>
          <w:tcPr>
            <w:tcW w:w="16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1" w:name="__DdeLink__195_36781015031"/>
            <w:r>
              <w:rPr>
                <w:rFonts w:ascii="Times New Roman" w:hAnsi="Times New Roman"/>
              </w:rPr>
              <w:t>Distritos de Jaci Paraná-RO</w:t>
            </w:r>
            <w:bookmarkEnd w:id="1"/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  <w:r>
              <w:rPr/>
              <w:t>9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712,69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1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6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>Leandro</w:t>
            </w:r>
          </w:p>
          <w:p>
            <w:pPr>
              <w:pStyle w:val="Contedodatabela"/>
              <w:jc w:val="both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Souza Teixeira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304080</w:t>
            </w:r>
          </w:p>
        </w:tc>
        <w:tc>
          <w:tcPr>
            <w:tcW w:w="11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Administ</w:t>
            </w:r>
          </w:p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rador Quadra de Esportes</w:t>
            </w:r>
          </w:p>
        </w:tc>
        <w:tc>
          <w:tcPr>
            <w:tcW w:w="16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bookmarkStart w:id="2" w:name="__DdeLink__277_806145006"/>
            <w:r>
              <w:rPr>
                <w:rFonts w:ascii="Times New Roman" w:hAnsi="Times New Roman"/>
              </w:rPr>
              <w:t>Distritos de Jaci Paraná-RO</w:t>
            </w:r>
            <w:bookmarkEnd w:id="2"/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0</w:t>
            </w:r>
            <w:r>
              <w:rPr/>
              <w:t>9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R$ 75,02</w:t>
            </w:r>
          </w:p>
        </w:tc>
        <w:tc>
          <w:tcPr>
            <w:tcW w:w="13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bookmarkStart w:id="3" w:name="__DdeLink__192_40135683141"/>
            <w:r>
              <w:rPr>
                <w:rFonts w:ascii="Times New Roman" w:hAnsi="Times New Roman"/>
              </w:rPr>
              <w:t xml:space="preserve">R$ </w:t>
            </w:r>
            <w:bookmarkEnd w:id="3"/>
            <w:r>
              <w:rPr>
                <w:rFonts w:ascii="Times New Roman" w:hAnsi="Times New Roman"/>
              </w:rPr>
              <w:t>712,69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1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6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R$ 37,51</w:t>
            </w:r>
          </w:p>
        </w:tc>
        <w:tc>
          <w:tcPr>
            <w:tcW w:w="13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clear" w:pos="709"/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4" w:name="__DdeLink__65_1036046468"/>
    <w:r>
      <w:rPr>
        <w:rFonts w:ascii="Times New Roman" w:hAnsi="Times New Roman"/>
        <w:sz w:val="20"/>
        <w:szCs w:val="20"/>
      </w:rPr>
      <w:t>76.804-022</w:t>
    </w:r>
    <w:bookmarkEnd w:id="4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 w:val="true"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o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LibreOffice/6.1.3.2$Windows_X86_64 LibreOffice_project/86daf60bf00efa86ad547e59e09d6bb77c699acb</Application>
  <Pages>1</Pages>
  <Words>237</Words>
  <Characters>1276</Characters>
  <CharactersWithSpaces>1466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2019-09-10T12:34:40Z</cp:lastPrinted>
  <dcterms:modified xsi:type="dcterms:W3CDTF">2019-09-10T12:45:21Z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